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F" w:rsidRPr="00A102EC" w:rsidRDefault="00062CBF">
      <w:pPr>
        <w:jc w:val="center"/>
        <w:rPr>
          <w:sz w:val="10"/>
          <w:vertAlign w:val="subscript"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598"/>
        <w:gridCol w:w="2172"/>
        <w:gridCol w:w="96"/>
        <w:gridCol w:w="140"/>
        <w:gridCol w:w="427"/>
        <w:gridCol w:w="651"/>
        <w:gridCol w:w="80"/>
        <w:gridCol w:w="262"/>
        <w:gridCol w:w="340"/>
        <w:gridCol w:w="318"/>
        <w:gridCol w:w="617"/>
        <w:gridCol w:w="267"/>
        <w:gridCol w:w="767"/>
        <w:gridCol w:w="809"/>
      </w:tblGrid>
      <w:tr w:rsidR="002F1FAA" w:rsidRPr="002F1FAA" w:rsidTr="002F1FAA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2F1FAA" w:rsidRPr="002F1FAA" w:rsidRDefault="002F1FAA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8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Dirección General de los Servicios Periciales</w:t>
            </w:r>
          </w:p>
        </w:tc>
        <w:tc>
          <w:tcPr>
            <w:tcW w:w="1884" w:type="dxa"/>
            <w:gridSpan w:val="6"/>
            <w:shd w:val="clear" w:color="auto" w:fill="DBE5F1" w:themeFill="accent1" w:themeFillTint="33"/>
            <w:vAlign w:val="center"/>
          </w:tcPr>
          <w:p w:rsidR="002F1FAA" w:rsidRPr="002F1FAA" w:rsidRDefault="002F1FAA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2F1FAA" w:rsidTr="002F1FAA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DF3FD8" w:rsidRPr="002F1FAA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2F1FAA" w:rsidTr="002F1FAA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6"/>
            <w:vMerge w:val="restart"/>
            <w:shd w:val="clear" w:color="auto" w:fill="DBE5F1" w:themeFill="accent1" w:themeFillTint="33"/>
            <w:vAlign w:val="center"/>
          </w:tcPr>
          <w:p w:rsidR="00D90E71" w:rsidRPr="002F1FA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4"/>
            <w:shd w:val="clear" w:color="auto" w:fill="365F91" w:themeFill="accent1" w:themeFillShade="BF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2F1FAA" w:rsidTr="002F1FAA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6"/>
            <w:vMerge/>
            <w:shd w:val="clear" w:color="auto" w:fill="DBE5F1" w:themeFill="accent1" w:themeFillTint="33"/>
            <w:vAlign w:val="center"/>
          </w:tcPr>
          <w:p w:rsidR="00D90E71" w:rsidRPr="002F1FA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1034" w:type="dxa"/>
            <w:gridSpan w:val="2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2F1FAA" w:rsidTr="00193F98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2F1FAA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6"/>
            <w:shd w:val="clear" w:color="auto" w:fill="auto"/>
            <w:vAlign w:val="center"/>
          </w:tcPr>
          <w:p w:rsidR="00D90E71" w:rsidRPr="002F1FAA" w:rsidRDefault="00BD41F2" w:rsidP="00AC0D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Solicitud de elaboración de Dictámenes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2F1FAA" w:rsidRDefault="00284A1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2F1FAA" w:rsidTr="002F1FAA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2F1FAA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5"/>
            <w:shd w:val="clear" w:color="auto" w:fill="DBE5F1" w:themeFill="accent1" w:themeFillTint="33"/>
            <w:vAlign w:val="center"/>
          </w:tcPr>
          <w:p w:rsidR="0042269E" w:rsidRPr="002F1FAA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2F1FAA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2F1FAA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4"/>
            <w:shd w:val="clear" w:color="auto" w:fill="FFFFFF"/>
            <w:vAlign w:val="center"/>
          </w:tcPr>
          <w:p w:rsidR="0042269E" w:rsidRPr="002F1FAA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2F1FAA" w:rsidTr="002F1FAA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2F1FAA" w:rsidRDefault="00BD41F2" w:rsidP="007A2B5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Fiscales, Agentes del Ministerio Público, Juzgados, Tribunales, cualquier autoridad que lo solicite</w:t>
            </w:r>
          </w:p>
        </w:tc>
        <w:tc>
          <w:tcPr>
            <w:tcW w:w="3433" w:type="dxa"/>
            <w:gridSpan w:val="5"/>
            <w:vMerge w:val="restart"/>
            <w:shd w:val="clear" w:color="auto" w:fill="auto"/>
            <w:vAlign w:val="center"/>
          </w:tcPr>
          <w:p w:rsidR="00CB2846" w:rsidRPr="002F1FAA" w:rsidRDefault="00BD41F2" w:rsidP="00AC0D40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Cuando se requiera la opinión de algún experto dentro de un litigio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F1FA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Dictamen</w:t>
            </w:r>
          </w:p>
        </w:tc>
      </w:tr>
      <w:tr w:rsidR="00CB2846" w:rsidRPr="002F1FAA" w:rsidTr="002F1FAA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2F1FA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CB2846" w:rsidRPr="002F1FA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F1FA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Dependiendo de la solicitud</w:t>
            </w:r>
          </w:p>
        </w:tc>
      </w:tr>
      <w:tr w:rsidR="002C2335" w:rsidRPr="002F1FAA" w:rsidTr="002F1FAA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7A34D3" w:rsidRPr="002F1FAA" w:rsidTr="007026FF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7A34D3" w:rsidRPr="002F1FAA" w:rsidRDefault="007A34D3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7A34D3" w:rsidRPr="002F1FAA" w:rsidRDefault="007A34D3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7A34D3" w:rsidRPr="002F1FAA" w:rsidRDefault="007A34D3" w:rsidP="00A95E13">
            <w:pPr>
              <w:jc w:val="center"/>
              <w:rPr>
                <w:rFonts w:ascii="Neo Sans Pro" w:hAnsi="Neo Sans Pro"/>
                <w:sz w:val="14"/>
                <w:szCs w:val="14"/>
              </w:rPr>
            </w:pPr>
            <w:r w:rsidRPr="002F1FAA">
              <w:rPr>
                <w:rFonts w:ascii="Neo Sans Pro" w:hAnsi="Neo Sans Pro"/>
                <w:sz w:val="14"/>
                <w:szCs w:val="14"/>
              </w:rPr>
              <w:t>Queja ante la Contraloría General y/o Visitaduría General</w:t>
            </w:r>
          </w:p>
        </w:tc>
      </w:tr>
      <w:tr w:rsidR="002C2335" w:rsidRPr="002F1FAA" w:rsidTr="002F1FAA">
        <w:trPr>
          <w:trHeight w:val="397"/>
        </w:trPr>
        <w:tc>
          <w:tcPr>
            <w:tcW w:w="6912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No aplica</w:t>
            </w:r>
          </w:p>
        </w:tc>
      </w:tr>
      <w:tr w:rsidR="002C2335" w:rsidRPr="002F1FAA" w:rsidTr="002F1FAA">
        <w:trPr>
          <w:trHeight w:val="397"/>
        </w:trPr>
        <w:tc>
          <w:tcPr>
            <w:tcW w:w="6912" w:type="dxa"/>
            <w:gridSpan w:val="9"/>
            <w:shd w:val="clear" w:color="auto" w:fill="auto"/>
            <w:vAlign w:val="center"/>
          </w:tcPr>
          <w:p w:rsidR="002C2335" w:rsidRPr="002F1FAA" w:rsidRDefault="00BD41F2" w:rsidP="00BD0384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 xml:space="preserve">Las autoridades no tendrían parámetros </w:t>
            </w:r>
            <w:r w:rsidR="00BD0384">
              <w:rPr>
                <w:rFonts w:ascii="Neo Sans Pro" w:hAnsi="Neo Sans Pro"/>
                <w:sz w:val="16"/>
                <w:szCs w:val="16"/>
              </w:rPr>
              <w:t>científicos para fundamentar su investigación</w:t>
            </w:r>
            <w:r w:rsidRPr="002F1FAA">
              <w:rPr>
                <w:rFonts w:ascii="Neo Sans Pro" w:hAnsi="Neo Sans Pro"/>
                <w:sz w:val="16"/>
                <w:szCs w:val="16"/>
              </w:rPr>
              <w:t>; en algunos casos se dejarían en estado de indefensión a algunas de las partes.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F1FAA" w:rsidRDefault="0052219D" w:rsidP="000D7A01">
            <w:pPr>
              <w:jc w:val="center"/>
              <w:rPr>
                <w:rFonts w:ascii="Neo Sans Pro" w:hAnsi="Neo Sans Pro"/>
                <w:sz w:val="15"/>
                <w:szCs w:val="15"/>
              </w:rPr>
            </w:pPr>
            <w:r w:rsidRPr="002F1FAA">
              <w:rPr>
                <w:rFonts w:ascii="Neo Sans Pro" w:hAnsi="Neo Sans Pro"/>
                <w:sz w:val="15"/>
                <w:szCs w:val="15"/>
              </w:rPr>
              <w:t>No aplica</w:t>
            </w:r>
          </w:p>
        </w:tc>
      </w:tr>
      <w:tr w:rsidR="002C2335" w:rsidRPr="002F1FAA" w:rsidTr="002F1FAA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236" w:type="dxa"/>
            <w:gridSpan w:val="2"/>
            <w:shd w:val="clear" w:color="auto" w:fill="DBE5F1" w:themeFill="accent1" w:themeFillTint="33"/>
            <w:vAlign w:val="center"/>
          </w:tcPr>
          <w:p w:rsidR="002C2335" w:rsidRPr="002F1FAA" w:rsidRDefault="002F1FAA" w:rsidP="002F1FAA">
            <w:pPr>
              <w:rPr>
                <w:rFonts w:ascii="Neo Sans Pro" w:hAnsi="Neo Sans Pro"/>
                <w:b/>
                <w:sz w:val="16"/>
                <w:szCs w:val="16"/>
              </w:rPr>
            </w:pPr>
            <w:r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427" w:type="dxa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2F1FAA" w:rsidTr="00193F98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BD41F2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Solicitud de la autoridad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5D704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 w:val="restart"/>
            <w:shd w:val="clear" w:color="auto" w:fill="auto"/>
            <w:vAlign w:val="center"/>
          </w:tcPr>
          <w:p w:rsidR="002C2335" w:rsidRPr="002F1FAA" w:rsidRDefault="006E3EEC" w:rsidP="006E3EEC">
            <w:pPr>
              <w:jc w:val="both"/>
              <w:rPr>
                <w:rFonts w:ascii="Neo Sans Pro" w:hAnsi="Neo Sans Pro"/>
                <w:sz w:val="16"/>
                <w:szCs w:val="16"/>
                <w:lang w:val="es-MX"/>
              </w:rPr>
            </w:pPr>
            <w:r w:rsidRPr="00BD0384">
              <w:rPr>
                <w:rFonts w:ascii="Neo Sans Pro" w:hAnsi="Neo Sans Pro"/>
                <w:sz w:val="16"/>
                <w:szCs w:val="16"/>
                <w:lang w:val="en-US"/>
              </w:rPr>
              <w:t xml:space="preserve">Art. 6 </w:t>
            </w:r>
            <w:proofErr w:type="spellStart"/>
            <w:r w:rsidRPr="00BD0384">
              <w:rPr>
                <w:rFonts w:ascii="Neo Sans Pro" w:hAnsi="Neo Sans Pro"/>
                <w:sz w:val="16"/>
                <w:szCs w:val="16"/>
                <w:lang w:val="en-US"/>
              </w:rPr>
              <w:t>Fracc</w:t>
            </w:r>
            <w:proofErr w:type="spellEnd"/>
            <w:r w:rsidRPr="00BD0384">
              <w:rPr>
                <w:rFonts w:ascii="Neo Sans Pro" w:hAnsi="Neo Sans Pro"/>
                <w:sz w:val="16"/>
                <w:szCs w:val="16"/>
                <w:lang w:val="en-US"/>
              </w:rPr>
              <w:t xml:space="preserve">. I, Art. 7 </w:t>
            </w:r>
            <w:proofErr w:type="spellStart"/>
            <w:r w:rsidRPr="00BD0384">
              <w:rPr>
                <w:rFonts w:ascii="Neo Sans Pro" w:hAnsi="Neo Sans Pro"/>
                <w:sz w:val="16"/>
                <w:szCs w:val="16"/>
                <w:lang w:val="en-US"/>
              </w:rPr>
              <w:t>Fracc</w:t>
            </w:r>
            <w:proofErr w:type="spellEnd"/>
            <w:r w:rsidRPr="00BD0384">
              <w:rPr>
                <w:rFonts w:ascii="Neo Sans Pro" w:hAnsi="Neo Sans Pro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Neo Sans Pro" w:hAnsi="Neo Sans Pro"/>
                <w:sz w:val="16"/>
                <w:szCs w:val="16"/>
                <w:lang w:val="es-MX"/>
              </w:rPr>
              <w:t xml:space="preserve">IV, Art. 43, 44 y 45 </w:t>
            </w:r>
            <w:r w:rsidRPr="002F1FAA">
              <w:rPr>
                <w:rFonts w:ascii="Neo Sans Pro" w:hAnsi="Neo Sans Pro"/>
                <w:sz w:val="16"/>
                <w:szCs w:val="16"/>
                <w:lang w:val="es-MX"/>
              </w:rPr>
              <w:t>de la Ley Orgánica de</w:t>
            </w:r>
            <w:r>
              <w:rPr>
                <w:rFonts w:ascii="Neo Sans Pro" w:hAnsi="Neo Sans Pro"/>
                <w:sz w:val="16"/>
                <w:szCs w:val="16"/>
                <w:lang w:val="es-MX"/>
              </w:rPr>
              <w:t xml:space="preserve"> la Fiscalía General del Estado; y </w:t>
            </w:r>
            <w:r w:rsidR="00BD41F2" w:rsidRPr="002F1FAA">
              <w:rPr>
                <w:rFonts w:ascii="Neo Sans Pro" w:hAnsi="Neo Sans Pro"/>
                <w:sz w:val="16"/>
                <w:szCs w:val="16"/>
                <w:lang w:val="es-MX"/>
              </w:rPr>
              <w:t>Art. 3</w:t>
            </w:r>
            <w:r>
              <w:rPr>
                <w:rFonts w:ascii="Neo Sans Pro" w:hAnsi="Neo Sans Pro"/>
                <w:sz w:val="16"/>
                <w:szCs w:val="16"/>
                <w:lang w:val="es-MX"/>
              </w:rPr>
              <w:t xml:space="preserve">4 apartado A </w:t>
            </w:r>
            <w:proofErr w:type="spellStart"/>
            <w:r>
              <w:rPr>
                <w:rFonts w:ascii="Neo Sans Pro" w:hAnsi="Neo Sans Pro"/>
                <w:sz w:val="16"/>
                <w:szCs w:val="16"/>
                <w:lang w:val="es-MX"/>
              </w:rPr>
              <w:t>Fracc</w:t>
            </w:r>
            <w:proofErr w:type="spellEnd"/>
            <w:r>
              <w:rPr>
                <w:rFonts w:ascii="Neo Sans Pro" w:hAnsi="Neo Sans Pro"/>
                <w:sz w:val="16"/>
                <w:szCs w:val="16"/>
                <w:lang w:val="es-MX"/>
              </w:rPr>
              <w:t xml:space="preserve">. I, Art. 127, 128 y Art. 150 </w:t>
            </w:r>
            <w:proofErr w:type="spellStart"/>
            <w:r>
              <w:rPr>
                <w:rFonts w:ascii="Neo Sans Pro" w:hAnsi="Neo Sans Pro"/>
                <w:sz w:val="16"/>
                <w:szCs w:val="16"/>
                <w:lang w:val="es-MX"/>
              </w:rPr>
              <w:t>Fracc</w:t>
            </w:r>
            <w:proofErr w:type="spellEnd"/>
            <w:r>
              <w:rPr>
                <w:rFonts w:ascii="Neo Sans Pro" w:hAnsi="Neo Sans Pro"/>
                <w:sz w:val="16"/>
                <w:szCs w:val="16"/>
                <w:lang w:val="es-MX"/>
              </w:rPr>
              <w:t>. I</w:t>
            </w:r>
            <w:r w:rsidR="00BD41F2" w:rsidRPr="002F1FAA">
              <w:rPr>
                <w:rFonts w:ascii="Neo Sans Pro" w:hAnsi="Neo Sans Pro"/>
                <w:sz w:val="16"/>
                <w:szCs w:val="16"/>
                <w:lang w:val="es-MX"/>
              </w:rPr>
              <w:t xml:space="preserve"> del Reglamento de la Ley Orgánica de la Fiscalía General del Estado.</w:t>
            </w: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2F1FAA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2F1FAA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2F1FAA" w:rsidTr="002F1FAA">
        <w:trPr>
          <w:trHeight w:val="608"/>
        </w:trPr>
        <w:tc>
          <w:tcPr>
            <w:tcW w:w="4077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F67FFD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Fiscalía o 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4168" w:type="dxa"/>
            <w:gridSpan w:val="8"/>
            <w:shd w:val="clear" w:color="auto" w:fill="DBE5F1" w:themeFill="accent1" w:themeFillTint="33"/>
            <w:vAlign w:val="center"/>
          </w:tcPr>
          <w:p w:rsidR="002C2335" w:rsidRPr="002F1FAA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2F1FAA" w:rsidTr="00193F98">
        <w:trPr>
          <w:trHeight w:val="326"/>
        </w:trPr>
        <w:tc>
          <w:tcPr>
            <w:tcW w:w="4077" w:type="dxa"/>
            <w:gridSpan w:val="5"/>
            <w:shd w:val="clear" w:color="auto" w:fill="auto"/>
            <w:vAlign w:val="center"/>
          </w:tcPr>
          <w:p w:rsidR="002C2335" w:rsidRPr="002F1FAA" w:rsidRDefault="00193F98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Dirección General de los Servicios Periciales</w:t>
            </w:r>
          </w:p>
        </w:tc>
        <w:tc>
          <w:tcPr>
            <w:tcW w:w="4168" w:type="dxa"/>
            <w:gridSpan w:val="8"/>
            <w:shd w:val="clear" w:color="auto" w:fill="auto"/>
            <w:vAlign w:val="center"/>
          </w:tcPr>
          <w:p w:rsidR="002C2335" w:rsidRPr="002F1FAA" w:rsidRDefault="009A571B" w:rsidP="00AC0D4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Oficialía</w:t>
            </w:r>
            <w:r w:rsidR="00193F98"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de Partes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685E55" w:rsidRPr="002F1FAA" w:rsidRDefault="00193F98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8192270</w:t>
            </w:r>
          </w:p>
          <w:p w:rsidR="00193F98" w:rsidRPr="002F1FAA" w:rsidRDefault="00193F98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8192288</w:t>
            </w:r>
          </w:p>
        </w:tc>
      </w:tr>
      <w:tr w:rsidR="002C2335" w:rsidRPr="002F1FAA" w:rsidTr="002F1FAA">
        <w:trPr>
          <w:trHeight w:val="352"/>
        </w:trPr>
        <w:tc>
          <w:tcPr>
            <w:tcW w:w="8245" w:type="dxa"/>
            <w:gridSpan w:val="1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2F1FAA" w:rsidTr="007C6B8D">
        <w:trPr>
          <w:trHeight w:val="576"/>
        </w:trPr>
        <w:tc>
          <w:tcPr>
            <w:tcW w:w="8245" w:type="dxa"/>
            <w:gridSpan w:val="13"/>
            <w:shd w:val="clear" w:color="auto" w:fill="auto"/>
            <w:vAlign w:val="center"/>
          </w:tcPr>
          <w:p w:rsidR="002C2335" w:rsidRPr="002F1FAA" w:rsidRDefault="00193F98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Circuito </w:t>
            </w:r>
            <w:proofErr w:type="gramStart"/>
            <w:r w:rsidR="005D7041" w:rsidRPr="002F1FAA">
              <w:rPr>
                <w:rFonts w:ascii="Neo Sans Pro" w:hAnsi="Neo Sans Pro"/>
                <w:bCs/>
                <w:sz w:val="16"/>
                <w:szCs w:val="16"/>
              </w:rPr>
              <w:t>Primavera</w:t>
            </w:r>
            <w:proofErr w:type="gramEnd"/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sin número Unidad Habitacional Nuevo Xalapa, C.P. 91097 Xalapa, Ver</w:t>
            </w:r>
            <w:r w:rsidR="00DA583F" w:rsidRPr="002F1FAA">
              <w:rPr>
                <w:rFonts w:ascii="Neo Sans Pro" w:hAnsi="Neo Sans Pro"/>
                <w:bCs/>
                <w:sz w:val="16"/>
                <w:szCs w:val="16"/>
              </w:rPr>
              <w:t>.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685E55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Las 24 horas del día los 365 días del año.</w:t>
            </w:r>
          </w:p>
        </w:tc>
      </w:tr>
      <w:tr w:rsidR="002C2335" w:rsidRPr="002F1FAA" w:rsidTr="002F1FAA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2F1FAA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2F1FAA" w:rsidTr="002F1FAA">
        <w:trPr>
          <w:trHeight w:val="296"/>
        </w:trPr>
        <w:tc>
          <w:tcPr>
            <w:tcW w:w="4077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7A34D3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560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275" w:type="dxa"/>
            <w:gridSpan w:val="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843" w:type="dxa"/>
            <w:gridSpan w:val="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2F1FAA" w:rsidTr="002F1FAA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A571B" w:rsidRPr="002F1FAA" w:rsidRDefault="009A571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Director</w:t>
            </w:r>
            <w:r w:rsidR="007A34D3" w:rsidRPr="002F1FAA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General de los Servicios Periciales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C2335" w:rsidRPr="002F1FAA" w:rsidRDefault="00193F98" w:rsidP="00A8309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Circuito </w:t>
            </w:r>
            <w:proofErr w:type="gramStart"/>
            <w:r w:rsidR="005D7041" w:rsidRPr="002F1FAA">
              <w:rPr>
                <w:rFonts w:ascii="Neo Sans Pro" w:hAnsi="Neo Sans Pro"/>
                <w:bCs/>
                <w:sz w:val="16"/>
                <w:szCs w:val="16"/>
              </w:rPr>
              <w:t>Primavera</w:t>
            </w:r>
            <w:proofErr w:type="gramEnd"/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sin número Unidad Habitacional Nuevo Xalapa, C.P. 91097 Xalapa, Ver.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685E55" w:rsidRPr="002F1FAA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C2335" w:rsidRPr="002F1FAA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C2335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8191311</w:t>
            </w:r>
          </w:p>
          <w:p w:rsidR="00193F98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8192270</w:t>
            </w:r>
          </w:p>
          <w:p w:rsidR="00193F98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8192288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C2335" w:rsidRPr="002F1FAA" w:rsidRDefault="009A571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serviciospericiales@veracruz.gob.mx</w:t>
            </w:r>
          </w:p>
        </w:tc>
      </w:tr>
      <w:tr w:rsidR="002F1FAA" w:rsidRPr="002F1FAA" w:rsidTr="00E54A20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2F1FAA" w:rsidRPr="002F1FAA" w:rsidRDefault="002F1FAA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F1FAA" w:rsidRPr="002F1FAA" w:rsidRDefault="002F1FAA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</w:tr>
      <w:tr w:rsidR="002F1FAA" w:rsidRPr="002F1FAA" w:rsidTr="00E54A20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0785" w:rsidRPr="00460785" w:rsidRDefault="00460785" w:rsidP="0046078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F1FAA" w:rsidRPr="002F1FAA" w:rsidRDefault="002F1FAA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</w:tr>
      <w:tr w:rsidR="007A2B56" w:rsidRPr="002F1FAA" w:rsidTr="002F1FAA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7A2B56" w:rsidRPr="002F1FAA" w:rsidRDefault="007A2B56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7A2B56" w:rsidRPr="002F1FAA" w:rsidTr="00F474DA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7A2B56" w:rsidRPr="002F1FAA" w:rsidRDefault="007A2B56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Director General de los Servicios Periciales</w:t>
            </w:r>
          </w:p>
        </w:tc>
      </w:tr>
    </w:tbl>
    <w:p w:rsidR="0097237C" w:rsidRPr="00EE3350" w:rsidRDefault="0097237C" w:rsidP="00F67FFD">
      <w:pPr>
        <w:ind w:firstLine="708"/>
        <w:jc w:val="both"/>
        <w:rPr>
          <w:rFonts w:ascii="Arial Narrow" w:hAnsi="Arial Narrow" w:cs="Arial"/>
          <w:sz w:val="20"/>
        </w:rPr>
      </w:pPr>
    </w:p>
    <w:sectPr w:rsidR="0097237C" w:rsidRPr="00EE3350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33" w:rsidRDefault="00345133">
      <w:r>
        <w:separator/>
      </w:r>
    </w:p>
  </w:endnote>
  <w:endnote w:type="continuationSeparator" w:id="0">
    <w:p w:rsidR="00345133" w:rsidRDefault="0034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33" w:rsidRDefault="00345133">
      <w:r>
        <w:separator/>
      </w:r>
    </w:p>
  </w:footnote>
  <w:footnote w:type="continuationSeparator" w:id="0">
    <w:p w:rsidR="00345133" w:rsidRDefault="0034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345133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6.65pt;margin-top:33.8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2F1FAA" w:rsidRDefault="002F1FAA" w:rsidP="002F1FAA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2F1FAA" w:rsidRDefault="002F1FAA" w:rsidP="002F1FAA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2F1FAA" w:rsidRDefault="002F1FAA" w:rsidP="002F1FA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2F1FAA">
      <w:rPr>
        <w:noProof/>
      </w:rPr>
      <w:drawing>
        <wp:inline distT="0" distB="0" distL="0" distR="0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3D3C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274A"/>
    <w:rsid w:val="000A4E60"/>
    <w:rsid w:val="000C018B"/>
    <w:rsid w:val="000D78B1"/>
    <w:rsid w:val="000D7A01"/>
    <w:rsid w:val="000E16B7"/>
    <w:rsid w:val="000E2FB0"/>
    <w:rsid w:val="00102396"/>
    <w:rsid w:val="00107D4A"/>
    <w:rsid w:val="001369B1"/>
    <w:rsid w:val="00137AF2"/>
    <w:rsid w:val="001545A1"/>
    <w:rsid w:val="00154F93"/>
    <w:rsid w:val="00160DC0"/>
    <w:rsid w:val="00163B0A"/>
    <w:rsid w:val="001650B5"/>
    <w:rsid w:val="001666B2"/>
    <w:rsid w:val="0018383D"/>
    <w:rsid w:val="00187C38"/>
    <w:rsid w:val="00193F9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D8B"/>
    <w:rsid w:val="002220B5"/>
    <w:rsid w:val="002259B8"/>
    <w:rsid w:val="0024123C"/>
    <w:rsid w:val="00244512"/>
    <w:rsid w:val="00251097"/>
    <w:rsid w:val="0026640E"/>
    <w:rsid w:val="00284A1A"/>
    <w:rsid w:val="002A1786"/>
    <w:rsid w:val="002B2BE3"/>
    <w:rsid w:val="002B4732"/>
    <w:rsid w:val="002C2335"/>
    <w:rsid w:val="002C50A9"/>
    <w:rsid w:val="002C7CD8"/>
    <w:rsid w:val="002E0678"/>
    <w:rsid w:val="002F1FAA"/>
    <w:rsid w:val="003061BB"/>
    <w:rsid w:val="00306B97"/>
    <w:rsid w:val="00313DD6"/>
    <w:rsid w:val="00345133"/>
    <w:rsid w:val="0034541C"/>
    <w:rsid w:val="003667FC"/>
    <w:rsid w:val="00375985"/>
    <w:rsid w:val="003823C9"/>
    <w:rsid w:val="003B1BA4"/>
    <w:rsid w:val="003E4080"/>
    <w:rsid w:val="003E41B8"/>
    <w:rsid w:val="003E470D"/>
    <w:rsid w:val="003E5A04"/>
    <w:rsid w:val="003E6D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60785"/>
    <w:rsid w:val="0046207F"/>
    <w:rsid w:val="00482DDC"/>
    <w:rsid w:val="00487592"/>
    <w:rsid w:val="0049612C"/>
    <w:rsid w:val="004A2975"/>
    <w:rsid w:val="004D1122"/>
    <w:rsid w:val="004D20DC"/>
    <w:rsid w:val="004E0F59"/>
    <w:rsid w:val="004F0759"/>
    <w:rsid w:val="004F36D5"/>
    <w:rsid w:val="00501D1A"/>
    <w:rsid w:val="005035D7"/>
    <w:rsid w:val="0050491E"/>
    <w:rsid w:val="00520D1A"/>
    <w:rsid w:val="0052219D"/>
    <w:rsid w:val="005344BB"/>
    <w:rsid w:val="005527A0"/>
    <w:rsid w:val="005B3426"/>
    <w:rsid w:val="005C1DB6"/>
    <w:rsid w:val="005D7041"/>
    <w:rsid w:val="005E1651"/>
    <w:rsid w:val="005F1297"/>
    <w:rsid w:val="005F6515"/>
    <w:rsid w:val="006141A1"/>
    <w:rsid w:val="00631C4F"/>
    <w:rsid w:val="00631DFD"/>
    <w:rsid w:val="00647B9C"/>
    <w:rsid w:val="00653EF8"/>
    <w:rsid w:val="006546C6"/>
    <w:rsid w:val="00663C36"/>
    <w:rsid w:val="00667B02"/>
    <w:rsid w:val="00685E55"/>
    <w:rsid w:val="00692C2B"/>
    <w:rsid w:val="006A5E74"/>
    <w:rsid w:val="006A6EB1"/>
    <w:rsid w:val="006C3B61"/>
    <w:rsid w:val="006C7791"/>
    <w:rsid w:val="006E3EEC"/>
    <w:rsid w:val="006F07F3"/>
    <w:rsid w:val="00701B3E"/>
    <w:rsid w:val="0070340D"/>
    <w:rsid w:val="007147EE"/>
    <w:rsid w:val="00715E9C"/>
    <w:rsid w:val="00716910"/>
    <w:rsid w:val="007249E9"/>
    <w:rsid w:val="00725F16"/>
    <w:rsid w:val="00730A27"/>
    <w:rsid w:val="007517D5"/>
    <w:rsid w:val="007850FC"/>
    <w:rsid w:val="0079309E"/>
    <w:rsid w:val="007A14F8"/>
    <w:rsid w:val="007A251E"/>
    <w:rsid w:val="007A2B56"/>
    <w:rsid w:val="007A34D3"/>
    <w:rsid w:val="007A51DA"/>
    <w:rsid w:val="007C6B8D"/>
    <w:rsid w:val="007E0BE2"/>
    <w:rsid w:val="007E27A8"/>
    <w:rsid w:val="007F4448"/>
    <w:rsid w:val="00814A62"/>
    <w:rsid w:val="0081561C"/>
    <w:rsid w:val="00833748"/>
    <w:rsid w:val="00847B35"/>
    <w:rsid w:val="008516B9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07E6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7CF6"/>
    <w:rsid w:val="00987E3E"/>
    <w:rsid w:val="00995A09"/>
    <w:rsid w:val="009A571B"/>
    <w:rsid w:val="009B1AF5"/>
    <w:rsid w:val="009B4785"/>
    <w:rsid w:val="009B4CC3"/>
    <w:rsid w:val="009C286A"/>
    <w:rsid w:val="009C3F55"/>
    <w:rsid w:val="009C54B9"/>
    <w:rsid w:val="009E6987"/>
    <w:rsid w:val="009F2EB0"/>
    <w:rsid w:val="009F5520"/>
    <w:rsid w:val="00A00D49"/>
    <w:rsid w:val="00A03195"/>
    <w:rsid w:val="00A102EC"/>
    <w:rsid w:val="00A132D7"/>
    <w:rsid w:val="00A1425F"/>
    <w:rsid w:val="00A14546"/>
    <w:rsid w:val="00A15D12"/>
    <w:rsid w:val="00A25F3B"/>
    <w:rsid w:val="00A43252"/>
    <w:rsid w:val="00A63D3A"/>
    <w:rsid w:val="00A8309F"/>
    <w:rsid w:val="00A95E13"/>
    <w:rsid w:val="00AA291B"/>
    <w:rsid w:val="00AB7285"/>
    <w:rsid w:val="00AC0D40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0384"/>
    <w:rsid w:val="00BD41F2"/>
    <w:rsid w:val="00BD6572"/>
    <w:rsid w:val="00BD71C8"/>
    <w:rsid w:val="00BE3B97"/>
    <w:rsid w:val="00BF2B7F"/>
    <w:rsid w:val="00C11D67"/>
    <w:rsid w:val="00C26693"/>
    <w:rsid w:val="00C35CFC"/>
    <w:rsid w:val="00C37DBE"/>
    <w:rsid w:val="00C43F33"/>
    <w:rsid w:val="00C4740F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D54C6"/>
    <w:rsid w:val="00D21513"/>
    <w:rsid w:val="00D578E3"/>
    <w:rsid w:val="00D90E71"/>
    <w:rsid w:val="00DA51E7"/>
    <w:rsid w:val="00DA583F"/>
    <w:rsid w:val="00DC0E11"/>
    <w:rsid w:val="00DC1785"/>
    <w:rsid w:val="00DD7AFA"/>
    <w:rsid w:val="00DF3FD8"/>
    <w:rsid w:val="00E0132D"/>
    <w:rsid w:val="00E1707B"/>
    <w:rsid w:val="00E355F2"/>
    <w:rsid w:val="00E44882"/>
    <w:rsid w:val="00E7045E"/>
    <w:rsid w:val="00EB79BC"/>
    <w:rsid w:val="00EC07F5"/>
    <w:rsid w:val="00ED124F"/>
    <w:rsid w:val="00ED77C8"/>
    <w:rsid w:val="00EE3350"/>
    <w:rsid w:val="00EF4916"/>
    <w:rsid w:val="00F111FA"/>
    <w:rsid w:val="00F17E6F"/>
    <w:rsid w:val="00F21714"/>
    <w:rsid w:val="00F35A80"/>
    <w:rsid w:val="00F510EE"/>
    <w:rsid w:val="00F55EC7"/>
    <w:rsid w:val="00F63570"/>
    <w:rsid w:val="00F67FFD"/>
    <w:rsid w:val="00F762D5"/>
    <w:rsid w:val="00F76A8B"/>
    <w:rsid w:val="00F77021"/>
    <w:rsid w:val="00F80EC5"/>
    <w:rsid w:val="00F940F8"/>
    <w:rsid w:val="00F97D65"/>
    <w:rsid w:val="00FB2E13"/>
    <w:rsid w:val="00FC39E1"/>
    <w:rsid w:val="00FD3029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CCAF-CD7A-4B5F-99C1-70679761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2</cp:revision>
  <cp:lastPrinted>2018-03-28T01:51:00Z</cp:lastPrinted>
  <dcterms:created xsi:type="dcterms:W3CDTF">2018-03-28T19:24:00Z</dcterms:created>
  <dcterms:modified xsi:type="dcterms:W3CDTF">2018-03-28T19:24:00Z</dcterms:modified>
</cp:coreProperties>
</file>